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850" w:rsidRDefault="00C07850"/>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15"/>
      </w:tblGrid>
      <w:tr w:rsidR="00C07850" w:rsidRPr="00063E73" w:rsidTr="00F57FED">
        <w:trPr>
          <w:trHeight w:val="550"/>
        </w:trPr>
        <w:tc>
          <w:tcPr>
            <w:tcW w:w="9915" w:type="dxa"/>
          </w:tcPr>
          <w:p w:rsidR="00C07850" w:rsidRPr="00063E73" w:rsidRDefault="00C07850" w:rsidP="00E33BD7">
            <w:pPr>
              <w:pStyle w:val="PaaOtsikko"/>
              <w:rPr>
                <w:rFonts w:cs="Arial"/>
              </w:rPr>
            </w:pPr>
            <w:r>
              <w:t>Ansökningstiden för statsunderstöd för mobilitetsstyrning 2019 har börjat</w:t>
            </w:r>
          </w:p>
        </w:tc>
      </w:tr>
    </w:tbl>
    <w:p w:rsidR="00BE6868" w:rsidRDefault="00C07850" w:rsidP="002F1286">
      <w:pPr>
        <w:pStyle w:val="Sis2"/>
        <w:ind w:left="0"/>
        <w:rPr>
          <w:rFonts w:cs="Arial"/>
        </w:rPr>
      </w:pPr>
      <w:r>
        <w:rPr>
          <w:b/>
          <w:szCs w:val="20"/>
        </w:rPr>
        <w:t xml:space="preserve">Ansökningstiden för statsunderstöd för mobilitetsstyrning 2019, som beviljas av Trafikverket, har börjat. Ansökningarna ska lämnas in senast 18.1.2019. </w:t>
      </w:r>
      <w:r>
        <w:rPr>
          <w:b/>
        </w:rPr>
        <w:t xml:space="preserve">För att stöda kommunikationsministeriets mål </w:t>
      </w:r>
      <w:proofErr w:type="spellStart"/>
      <w:r>
        <w:rPr>
          <w:b/>
        </w:rPr>
        <w:t>Kolfri</w:t>
      </w:r>
      <w:proofErr w:type="spellEnd"/>
      <w:r>
        <w:rPr>
          <w:b/>
        </w:rPr>
        <w:t xml:space="preserve"> trafik 2045</w:t>
      </w:r>
      <w:r w:rsidR="00F241C5">
        <w:rPr>
          <w:b/>
        </w:rPr>
        <w:t>,</w:t>
      </w:r>
      <w:r>
        <w:rPr>
          <w:b/>
        </w:rPr>
        <w:t xml:space="preserve"> understöds särskilt sådana projektförslag som siktar på att direkt minska antalet bilresor. </w:t>
      </w:r>
    </w:p>
    <w:p w:rsidR="00C07850" w:rsidRDefault="00C07850" w:rsidP="00C07850">
      <w:pPr>
        <w:pStyle w:val="Sis2"/>
        <w:ind w:left="0"/>
        <w:rPr>
          <w:rFonts w:cs="Arial"/>
          <w:szCs w:val="20"/>
        </w:rPr>
      </w:pPr>
    </w:p>
    <w:p w:rsidR="00C36AD9" w:rsidRDefault="00BE6868" w:rsidP="00C07850">
      <w:pPr>
        <w:pStyle w:val="Sis2"/>
        <w:ind w:left="0"/>
        <w:rPr>
          <w:rFonts w:cs="Arial"/>
          <w:szCs w:val="20"/>
        </w:rPr>
      </w:pPr>
      <w:r>
        <w:t xml:space="preserve">Bestämmelser om statsunderstöden </w:t>
      </w:r>
      <w:r w:rsidR="00F241C5">
        <w:t>för mobilitetsstyrning finns i s</w:t>
      </w:r>
      <w:r>
        <w:t>tatsrådets förordning om statsunderstöd för transportservice 8509/2018)</w:t>
      </w:r>
      <w:r w:rsidR="003B38F2">
        <w:t>.</w:t>
      </w:r>
      <w:r>
        <w:t xml:space="preserve"> Med mobilitetsstyrning a</w:t>
      </w:r>
      <w:r w:rsidR="00F241C5">
        <w:t xml:space="preserve">vses att främja klok mobilitet </w:t>
      </w:r>
      <w:r>
        <w:t>med hjälp av bland annat rådgivning, marknadsföring, mobilitetsplanering samt samordning och utveckling av mobilitetstjänster. Målet är att minska körning ensam med egen bil och göra kollektivtrafiken, andra mobilitetstjänster samt gång och cyk</w:t>
      </w:r>
      <w:r w:rsidR="00F241C5">
        <w:t>ling</w:t>
      </w:r>
      <w:r>
        <w:t xml:space="preserve"> mer attraktiv. </w:t>
      </w:r>
    </w:p>
    <w:p w:rsidR="00C36AD9" w:rsidRDefault="00C36AD9" w:rsidP="00C07850">
      <w:pPr>
        <w:pStyle w:val="Sis2"/>
        <w:ind w:left="0"/>
        <w:rPr>
          <w:rFonts w:cs="Arial"/>
          <w:szCs w:val="20"/>
        </w:rPr>
      </w:pPr>
    </w:p>
    <w:p w:rsidR="00C07850" w:rsidRDefault="002F1286" w:rsidP="00C07850">
      <w:pPr>
        <w:pStyle w:val="Sis2"/>
        <w:ind w:left="0"/>
        <w:rPr>
          <w:rFonts w:cs="Arial"/>
          <w:szCs w:val="20"/>
        </w:rPr>
      </w:pPr>
      <w:r>
        <w:t>En arbetsgrupp tillsatt av kommunikationsministeriet utreder och utvärderar metoder för att transportsektorn i Finland senast år 2045 ska vara fri från växthusgasutsläpp.</w:t>
      </w:r>
      <w:hyperlink r:id="rId8" w:history="1">
        <w:r>
          <w:rPr>
            <w:rStyle w:val="Hyperlinkki"/>
          </w:rPr>
          <w:t xml:space="preserve"> I arbetsgruppens halvtidsrapport</w:t>
        </w:r>
      </w:hyperlink>
      <w:r>
        <w:t xml:space="preserve"> ligger tyngdpunkten på att minska utsläppen främst genom att reducera  transportarbete som ger upphov till utsläpp, eftersom cirka 90 procent av växthusgasutsläppen från trafiken i Finland kommer från vägtrafiken. </w:t>
      </w:r>
    </w:p>
    <w:p w:rsidR="00C07850" w:rsidRPr="00D94029" w:rsidRDefault="00C07850" w:rsidP="00C07850">
      <w:pPr>
        <w:pStyle w:val="Sis2"/>
        <w:ind w:left="0"/>
        <w:rPr>
          <w:rFonts w:cs="Arial"/>
          <w:szCs w:val="20"/>
        </w:rPr>
      </w:pPr>
    </w:p>
    <w:p w:rsidR="00C07850" w:rsidRDefault="002F1286" w:rsidP="00C07850">
      <w:pPr>
        <w:pStyle w:val="Sis2"/>
        <w:ind w:left="0"/>
        <w:rPr>
          <w:rFonts w:cs="Arial"/>
          <w:szCs w:val="20"/>
        </w:rPr>
      </w:pPr>
      <w:r>
        <w:t>Understöd för mobilitetsstyrning kan beviljas kommuner, samkommuner och andra allmännyttiga sammanslutningar. Dessa kan bestå av till exempel olika nätverk, stiftelser och föreningar som utövar mobilitetsstyrning.</w:t>
      </w:r>
    </w:p>
    <w:p w:rsidR="00C07850" w:rsidRDefault="00C07850" w:rsidP="00C07850">
      <w:pPr>
        <w:pStyle w:val="Sis2"/>
        <w:ind w:left="0"/>
        <w:rPr>
          <w:rFonts w:cs="Arial"/>
          <w:szCs w:val="20"/>
        </w:rPr>
      </w:pPr>
    </w:p>
    <w:p w:rsidR="00C07850" w:rsidRDefault="00C07850" w:rsidP="00C07850">
      <w:pPr>
        <w:pStyle w:val="Sis2"/>
        <w:ind w:left="0"/>
        <w:rPr>
          <w:rFonts w:cs="Arial"/>
          <w:szCs w:val="20"/>
        </w:rPr>
      </w:pPr>
      <w:r>
        <w:t>Statsunderstöd kan enligt förordningen om statsunderstöd beviljas till högst 75 procent av de godtagbara kostnaderna för verksamhetsplanering, projekthantering och genomförande. De understödda projektens resultat och verksamhetsformer ska ha ett så brett verkningsområde som möjligt och kunna tillämpas på andra ställen.</w:t>
      </w:r>
    </w:p>
    <w:p w:rsidR="00C07850" w:rsidRDefault="00C07850" w:rsidP="00C07850">
      <w:pPr>
        <w:pStyle w:val="Sis2"/>
        <w:ind w:left="0"/>
        <w:rPr>
          <w:rFonts w:cs="Arial"/>
          <w:szCs w:val="20"/>
        </w:rPr>
      </w:pPr>
    </w:p>
    <w:p w:rsidR="00C07850" w:rsidRPr="00C85DB5" w:rsidRDefault="00C07850" w:rsidP="00C07850">
      <w:pPr>
        <w:pStyle w:val="Sis2"/>
        <w:ind w:left="0"/>
        <w:rPr>
          <w:rFonts w:cs="Arial"/>
          <w:b/>
          <w:szCs w:val="20"/>
        </w:rPr>
      </w:pPr>
      <w:r>
        <w:rPr>
          <w:b/>
          <w:szCs w:val="20"/>
        </w:rPr>
        <w:t>Ansökningarna för 2019 ska helst gälla följande teman:</w:t>
      </w:r>
    </w:p>
    <w:p w:rsidR="00C07850" w:rsidRPr="001275ED" w:rsidRDefault="00C07850" w:rsidP="00C07850">
      <w:pPr>
        <w:pStyle w:val="Sis2"/>
        <w:numPr>
          <w:ilvl w:val="0"/>
          <w:numId w:val="1"/>
        </w:numPr>
        <w:ind w:left="720" w:right="417"/>
        <w:rPr>
          <w:rFonts w:cs="Arial"/>
          <w:szCs w:val="20"/>
        </w:rPr>
      </w:pPr>
      <w:r>
        <w:rPr>
          <w:b/>
          <w:szCs w:val="20"/>
        </w:rPr>
        <w:t>Inriktad marknadsföring</w:t>
      </w:r>
      <w:r w:rsidR="00130F1F">
        <w:rPr>
          <w:b/>
          <w:szCs w:val="20"/>
        </w:rPr>
        <w:t>.</w:t>
      </w:r>
      <w:r>
        <w:t xml:space="preserve"> Innovativa och målinriktade sätt som riktar sig till tydliga målgrupper och som involverar användarna eller personifierade sätt att utföra marknadsföring, kommunika</w:t>
      </w:r>
      <w:r w:rsidR="00130F1F">
        <w:t>tion</w:t>
      </w:r>
      <w:r>
        <w:t xml:space="preserve"> och kampanjer om hållbar mobilitet. </w:t>
      </w:r>
      <w:r w:rsidR="00130F1F">
        <w:t>I synnerhet k</w:t>
      </w:r>
      <w:r>
        <w:t>unskapsmässig styrning och marknadsföring som direkt strävar efter att minska personbil</w:t>
      </w:r>
      <w:r w:rsidR="003B38F2">
        <w:t>s</w:t>
      </w:r>
      <w:bookmarkStart w:id="0" w:name="_GoBack"/>
      <w:bookmarkEnd w:id="0"/>
      <w:r>
        <w:t>resorna.</w:t>
      </w:r>
    </w:p>
    <w:p w:rsidR="00C07850" w:rsidRPr="001275ED" w:rsidRDefault="00C07850" w:rsidP="00C07850">
      <w:pPr>
        <w:pStyle w:val="Sis2"/>
        <w:numPr>
          <w:ilvl w:val="0"/>
          <w:numId w:val="1"/>
        </w:numPr>
        <w:ind w:left="720" w:right="417"/>
        <w:rPr>
          <w:rFonts w:cs="Arial"/>
          <w:szCs w:val="20"/>
        </w:rPr>
      </w:pPr>
      <w:r>
        <w:rPr>
          <w:b/>
          <w:szCs w:val="20"/>
        </w:rPr>
        <w:t>Konsumentens hållbara mobil</w:t>
      </w:r>
      <w:r w:rsidR="00130F1F">
        <w:rPr>
          <w:b/>
          <w:szCs w:val="20"/>
        </w:rPr>
        <w:t>itets</w:t>
      </w:r>
      <w:r>
        <w:rPr>
          <w:b/>
          <w:szCs w:val="20"/>
        </w:rPr>
        <w:t>tjänster</w:t>
      </w:r>
      <w:r w:rsidR="00130F1F">
        <w:rPr>
          <w:b/>
          <w:szCs w:val="20"/>
        </w:rPr>
        <w:t>.</w:t>
      </w:r>
      <w:r>
        <w:t xml:space="preserve"> Testa, utveckla och ta i bruk konsumentinriktade mobilitetstjänster som främjar hållbar mobilitet samt att kombinera dessa till olika former av hållbar mobilitet. Dessa mobilitetstjänster ska vara en integrerad del av transportsystemet, kollektivtrafiksystemet, planeringen av bostadsområden eller byggande av bostäder eller kontorsutrymmen. Exempel på mobilitetstjänster är kollektivtrafik, bilpooler, samåkning, cykelservice, elcyklar. </w:t>
      </w:r>
    </w:p>
    <w:p w:rsidR="00C07850" w:rsidRPr="00D94029" w:rsidRDefault="00C07850" w:rsidP="00C07850">
      <w:pPr>
        <w:pStyle w:val="Sis2"/>
        <w:numPr>
          <w:ilvl w:val="0"/>
          <w:numId w:val="1"/>
        </w:numPr>
        <w:ind w:left="720" w:right="417"/>
        <w:rPr>
          <w:rFonts w:cs="Arial"/>
          <w:szCs w:val="20"/>
        </w:rPr>
      </w:pPr>
      <w:r>
        <w:rPr>
          <w:b/>
        </w:rPr>
        <w:t>Planer för hållbar mobilitet</w:t>
      </w:r>
      <w:r w:rsidR="00130F1F">
        <w:rPr>
          <w:b/>
        </w:rPr>
        <w:t>.</w:t>
      </w:r>
      <w:r>
        <w:t xml:space="preserve"> Övergripande planering av hållbar mobilitet i regionen eller kommunen, till exempel åtgärdsplaner och strategier eller parkeringspolicy för hållbar mobilitet.</w:t>
      </w:r>
    </w:p>
    <w:p w:rsidR="00C07850" w:rsidRPr="00063E73" w:rsidRDefault="00C07850" w:rsidP="00C07850">
      <w:pPr>
        <w:pStyle w:val="Sis2"/>
        <w:ind w:left="0"/>
        <w:rPr>
          <w:rFonts w:cs="Arial"/>
          <w:szCs w:val="20"/>
        </w:rPr>
      </w:pPr>
    </w:p>
    <w:p w:rsidR="00C07850" w:rsidRPr="00D94029" w:rsidRDefault="00C07850" w:rsidP="00D7756D">
      <w:pPr>
        <w:pStyle w:val="Sis2"/>
        <w:ind w:left="0" w:right="417"/>
        <w:rPr>
          <w:rFonts w:cs="Arial"/>
          <w:szCs w:val="20"/>
        </w:rPr>
      </w:pPr>
      <w:r>
        <w:t xml:space="preserve">Ansökan kan gälla också annan mobilitetsstyrningsverksamhet. </w:t>
      </w:r>
    </w:p>
    <w:p w:rsidR="00C07850" w:rsidRDefault="00C07850" w:rsidP="00C07850">
      <w:pPr>
        <w:pStyle w:val="Sis2"/>
        <w:ind w:left="0"/>
        <w:rPr>
          <w:rFonts w:cs="Arial"/>
          <w:szCs w:val="20"/>
        </w:rPr>
      </w:pPr>
    </w:p>
    <w:p w:rsidR="00C07850" w:rsidRDefault="00C07850" w:rsidP="00C07850">
      <w:pPr>
        <w:pStyle w:val="Sis2"/>
        <w:ind w:left="0"/>
        <w:rPr>
          <w:rFonts w:cs="Arial"/>
          <w:szCs w:val="20"/>
        </w:rPr>
      </w:pPr>
      <w:r>
        <w:rPr>
          <w:b/>
          <w:szCs w:val="20"/>
        </w:rPr>
        <w:t>Ansökningarna ska lämnas in senast den 18 januari 201</w:t>
      </w:r>
      <w:r w:rsidRPr="00B03EF2">
        <w:rPr>
          <w:b/>
        </w:rPr>
        <w:t>9</w:t>
      </w:r>
      <w:r>
        <w:t xml:space="preserve">. Noggrannare ansökningsanvisningar finns på Trafikverkets webbsidor: </w:t>
      </w:r>
      <w:hyperlink r:id="rId9" w:history="1">
        <w:r>
          <w:rPr>
            <w:rStyle w:val="Hyperlinkki"/>
            <w:szCs w:val="20"/>
          </w:rPr>
          <w:t>Blankett och anvisningar för ansökan om statsunderstöd för mobilitetsstyrning 2019</w:t>
        </w:r>
      </w:hyperlink>
    </w:p>
    <w:p w:rsidR="00C07850" w:rsidRDefault="00C07850" w:rsidP="00C07850">
      <w:pPr>
        <w:pStyle w:val="Sis2"/>
        <w:ind w:left="0"/>
        <w:rPr>
          <w:rStyle w:val="Hyperlinkki"/>
          <w:rFonts w:cs="Arial"/>
          <w:szCs w:val="20"/>
        </w:rPr>
      </w:pPr>
    </w:p>
    <w:p w:rsidR="00C07850" w:rsidRDefault="00C07850" w:rsidP="00C07850">
      <w:pPr>
        <w:pStyle w:val="Sis2"/>
        <w:ind w:left="0"/>
        <w:rPr>
          <w:rFonts w:cs="Arial"/>
          <w:szCs w:val="20"/>
        </w:rPr>
      </w:pPr>
      <w:r>
        <w:rPr>
          <w:b/>
          <w:szCs w:val="20"/>
        </w:rPr>
        <w:t>Mer information om statsunderstöd för mobilitetsstyrning:</w:t>
      </w:r>
      <w:r>
        <w:t xml:space="preserve"> </w:t>
      </w:r>
    </w:p>
    <w:p w:rsidR="00BE6868" w:rsidRPr="004B7438" w:rsidRDefault="00C07850" w:rsidP="00C85DB5">
      <w:pPr>
        <w:pStyle w:val="Sis2"/>
        <w:ind w:left="0"/>
        <w:rPr>
          <w:rFonts w:cs="Arial"/>
        </w:rPr>
      </w:pPr>
      <w:r>
        <w:t>kollektivtrafiksakkunnig Toni Bärman, tfn 029 534 3235  eller</w:t>
      </w:r>
      <w:r w:rsidR="00B03EF2">
        <w:t xml:space="preserve"> </w:t>
      </w:r>
      <w:hyperlink r:id="rId10" w:history="1">
        <w:r>
          <w:rPr>
            <w:rStyle w:val="Hyperlinkki"/>
            <w:szCs w:val="20"/>
          </w:rPr>
          <w:t>toni.barman@trafikverket.fi</w:t>
        </w:r>
      </w:hyperlink>
      <w:r>
        <w:t xml:space="preserve"> / </w:t>
      </w:r>
      <w:r>
        <w:rPr>
          <w:rStyle w:val="Hyperlinkki"/>
          <w:szCs w:val="20"/>
        </w:rPr>
        <w:t>liikkumisenohjaus@trafikverket.fi</w:t>
      </w:r>
    </w:p>
    <w:sectPr w:rsidR="00BE6868" w:rsidRPr="004B7438" w:rsidSect="00923FA3">
      <w:headerReference w:type="default" r:id="rId11"/>
      <w:headerReference w:type="first" r:id="rId12"/>
      <w:footerReference w:type="first" r:id="rId13"/>
      <w:pgSz w:w="11906" w:h="16838" w:code="9"/>
      <w:pgMar w:top="2381" w:right="851" w:bottom="1758" w:left="1140"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174" w:rsidRDefault="00121174">
      <w:r>
        <w:separator/>
      </w:r>
    </w:p>
  </w:endnote>
  <w:endnote w:type="continuationSeparator" w:id="0">
    <w:p w:rsidR="00121174" w:rsidRDefault="0012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44" w:type="dxa"/>
      <w:tblLayout w:type="fixed"/>
      <w:tblCellMar>
        <w:left w:w="0" w:type="dxa"/>
        <w:right w:w="0" w:type="dxa"/>
      </w:tblCellMar>
      <w:tblLook w:val="0000" w:firstRow="0" w:lastRow="0" w:firstColumn="0" w:lastColumn="0" w:noHBand="0" w:noVBand="0"/>
    </w:tblPr>
    <w:tblGrid>
      <w:gridCol w:w="2835"/>
      <w:gridCol w:w="2070"/>
      <w:gridCol w:w="2466"/>
      <w:gridCol w:w="1673"/>
    </w:tblGrid>
    <w:tr w:rsidR="005E0946" w:rsidRPr="00EA7F77" w:rsidTr="005E0946">
      <w:trPr>
        <w:cantSplit/>
      </w:trPr>
      <w:tc>
        <w:tcPr>
          <w:tcW w:w="2835" w:type="dxa"/>
        </w:tcPr>
        <w:p w:rsidR="005E0946" w:rsidRPr="009D2C67" w:rsidRDefault="00C36AD9" w:rsidP="005E0946">
          <w:pPr>
            <w:spacing w:after="40"/>
            <w:rPr>
              <w:b/>
              <w:noProof/>
              <w:color w:val="0088CE"/>
              <w:sz w:val="14"/>
              <w:szCs w:val="14"/>
            </w:rPr>
          </w:pPr>
          <w:r>
            <w:rPr>
              <w:b/>
              <w:color w:val="0088CE"/>
              <w:sz w:val="14"/>
              <w:szCs w:val="14"/>
            </w:rPr>
            <w:t>Trafikverket</w:t>
          </w:r>
        </w:p>
      </w:tc>
      <w:tc>
        <w:tcPr>
          <w:tcW w:w="2070" w:type="dxa"/>
        </w:tcPr>
        <w:p w:rsidR="005E0946" w:rsidRPr="009D2C67" w:rsidRDefault="003B38F2" w:rsidP="005E0946">
          <w:pPr>
            <w:rPr>
              <w:noProof/>
              <w:sz w:val="14"/>
              <w:szCs w:val="14"/>
            </w:rPr>
          </w:pPr>
        </w:p>
      </w:tc>
      <w:tc>
        <w:tcPr>
          <w:tcW w:w="2466" w:type="dxa"/>
        </w:tcPr>
        <w:p w:rsidR="005E0946" w:rsidRPr="009D2C67" w:rsidRDefault="003B38F2" w:rsidP="005E0946">
          <w:pPr>
            <w:rPr>
              <w:noProof/>
              <w:sz w:val="14"/>
              <w:szCs w:val="14"/>
            </w:rPr>
          </w:pPr>
        </w:p>
      </w:tc>
      <w:tc>
        <w:tcPr>
          <w:tcW w:w="1673" w:type="dxa"/>
        </w:tcPr>
        <w:p w:rsidR="005E0946" w:rsidRPr="009D2C67" w:rsidRDefault="003B38F2" w:rsidP="005E0946">
          <w:pPr>
            <w:rPr>
              <w:noProof/>
              <w:sz w:val="14"/>
              <w:szCs w:val="14"/>
            </w:rPr>
          </w:pPr>
        </w:p>
      </w:tc>
    </w:tr>
    <w:tr w:rsidR="005E0946" w:rsidRPr="009D2C67" w:rsidTr="005E0946">
      <w:trPr>
        <w:cantSplit/>
      </w:trPr>
      <w:tc>
        <w:tcPr>
          <w:tcW w:w="2835" w:type="dxa"/>
        </w:tcPr>
        <w:p w:rsidR="005E0946" w:rsidRPr="009D2C67" w:rsidRDefault="00C36AD9" w:rsidP="005E0946">
          <w:pPr>
            <w:spacing w:after="40"/>
            <w:rPr>
              <w:noProof/>
              <w:sz w:val="14"/>
              <w:szCs w:val="14"/>
            </w:rPr>
          </w:pPr>
          <w:r>
            <w:rPr>
              <w:sz w:val="14"/>
              <w:szCs w:val="14"/>
            </w:rPr>
            <w:t>PB 33, 00521 Helsingfors</w:t>
          </w:r>
        </w:p>
      </w:tc>
      <w:tc>
        <w:tcPr>
          <w:tcW w:w="2070" w:type="dxa"/>
        </w:tcPr>
        <w:p w:rsidR="005E0946" w:rsidRPr="009D2C67" w:rsidRDefault="00C36AD9" w:rsidP="005E0946">
          <w:pPr>
            <w:spacing w:after="40"/>
            <w:rPr>
              <w:noProof/>
              <w:sz w:val="14"/>
              <w:szCs w:val="14"/>
            </w:rPr>
          </w:pPr>
          <w:r>
            <w:rPr>
              <w:sz w:val="14"/>
              <w:szCs w:val="14"/>
            </w:rPr>
            <w:t>Telefon 0295 34 3000</w:t>
          </w:r>
        </w:p>
      </w:tc>
      <w:tc>
        <w:tcPr>
          <w:tcW w:w="2466" w:type="dxa"/>
        </w:tcPr>
        <w:p w:rsidR="005E0946" w:rsidRPr="009D2C67" w:rsidRDefault="00C36AD9" w:rsidP="005E0946">
          <w:pPr>
            <w:spacing w:after="40"/>
            <w:rPr>
              <w:noProof/>
              <w:sz w:val="14"/>
              <w:szCs w:val="14"/>
            </w:rPr>
          </w:pPr>
          <w:r>
            <w:rPr>
              <w:sz w:val="14"/>
              <w:szCs w:val="14"/>
            </w:rPr>
            <w:t>fornamn.efternamn@trafikverket.fi</w:t>
          </w:r>
        </w:p>
      </w:tc>
      <w:tc>
        <w:tcPr>
          <w:tcW w:w="1673" w:type="dxa"/>
        </w:tcPr>
        <w:p w:rsidR="005E0946" w:rsidRPr="009D2C67" w:rsidRDefault="00C36AD9" w:rsidP="005E0946">
          <w:pPr>
            <w:spacing w:after="40"/>
            <w:rPr>
              <w:noProof/>
              <w:color w:val="0088CE"/>
              <w:sz w:val="14"/>
              <w:szCs w:val="14"/>
            </w:rPr>
          </w:pPr>
          <w:r>
            <w:rPr>
              <w:color w:val="0088CE"/>
              <w:sz w:val="14"/>
              <w:szCs w:val="14"/>
            </w:rPr>
            <w:t>www.trafikverket.fi</w:t>
          </w:r>
        </w:p>
      </w:tc>
    </w:tr>
    <w:tr w:rsidR="005E0946" w:rsidRPr="009D2C67" w:rsidTr="005E0946">
      <w:trPr>
        <w:cantSplit/>
      </w:trPr>
      <w:tc>
        <w:tcPr>
          <w:tcW w:w="2835" w:type="dxa"/>
        </w:tcPr>
        <w:p w:rsidR="005E0946" w:rsidRPr="009D2C67" w:rsidRDefault="00C36AD9" w:rsidP="005E0946">
          <w:pPr>
            <w:spacing w:after="40"/>
            <w:rPr>
              <w:noProof/>
              <w:sz w:val="14"/>
              <w:szCs w:val="14"/>
            </w:rPr>
          </w:pPr>
          <w:r>
            <w:rPr>
              <w:sz w:val="14"/>
              <w:szCs w:val="14"/>
            </w:rPr>
            <w:t>Semaforbron 12 A, 00520 Helsingfors</w:t>
          </w:r>
        </w:p>
      </w:tc>
      <w:tc>
        <w:tcPr>
          <w:tcW w:w="2070" w:type="dxa"/>
        </w:tcPr>
        <w:p w:rsidR="005E0946" w:rsidRPr="009D2C67" w:rsidRDefault="00C36AD9" w:rsidP="005E0946">
          <w:pPr>
            <w:spacing w:after="40"/>
            <w:rPr>
              <w:noProof/>
              <w:sz w:val="14"/>
              <w:szCs w:val="14"/>
            </w:rPr>
          </w:pPr>
          <w:r>
            <w:rPr>
              <w:sz w:val="14"/>
              <w:szCs w:val="14"/>
            </w:rPr>
            <w:t>Fax 0295 34 3700</w:t>
          </w:r>
        </w:p>
      </w:tc>
      <w:tc>
        <w:tcPr>
          <w:tcW w:w="2466" w:type="dxa"/>
        </w:tcPr>
        <w:p w:rsidR="005E0946" w:rsidRPr="009D2C67" w:rsidRDefault="00C36AD9" w:rsidP="005E0946">
          <w:pPr>
            <w:spacing w:after="40"/>
            <w:rPr>
              <w:sz w:val="14"/>
              <w:szCs w:val="14"/>
            </w:rPr>
          </w:pPr>
          <w:r>
            <w:rPr>
              <w:sz w:val="14"/>
              <w:szCs w:val="14"/>
            </w:rPr>
            <w:t>kirjaamo@trafikverket.fi</w:t>
          </w:r>
        </w:p>
      </w:tc>
      <w:tc>
        <w:tcPr>
          <w:tcW w:w="1673" w:type="dxa"/>
        </w:tcPr>
        <w:p w:rsidR="005E0946" w:rsidRPr="009D2C67" w:rsidRDefault="003B38F2" w:rsidP="005E0946">
          <w:pPr>
            <w:spacing w:after="40"/>
            <w:rPr>
              <w:noProof/>
              <w:sz w:val="14"/>
              <w:szCs w:val="14"/>
            </w:rPr>
          </w:pPr>
        </w:p>
      </w:tc>
    </w:tr>
  </w:tbl>
  <w:p w:rsidR="005E0946" w:rsidRPr="00BD2536" w:rsidRDefault="003B38F2" w:rsidP="00BD2536">
    <w:pPr>
      <w:pStyle w:val="Alatunnist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174" w:rsidRDefault="00121174">
      <w:r>
        <w:separator/>
      </w:r>
    </w:p>
  </w:footnote>
  <w:footnote w:type="continuationSeparator" w:id="0">
    <w:p w:rsidR="00121174" w:rsidRDefault="00121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25" w:type="dxa"/>
      <w:tblLayout w:type="fixed"/>
      <w:tblCellMar>
        <w:left w:w="0" w:type="dxa"/>
        <w:right w:w="0" w:type="dxa"/>
      </w:tblCellMar>
      <w:tblLook w:val="04A0" w:firstRow="1" w:lastRow="0" w:firstColumn="1" w:lastColumn="0" w:noHBand="0" w:noVBand="1"/>
    </w:tblPr>
    <w:tblGrid>
      <w:gridCol w:w="5213"/>
      <w:gridCol w:w="2606"/>
      <w:gridCol w:w="1303"/>
      <w:gridCol w:w="1303"/>
    </w:tblGrid>
    <w:tr w:rsidR="005E0946" w:rsidTr="00765367">
      <w:trPr>
        <w:cantSplit/>
      </w:trPr>
      <w:tc>
        <w:tcPr>
          <w:tcW w:w="5216" w:type="dxa"/>
        </w:tcPr>
        <w:p w:rsidR="005E0946" w:rsidRDefault="003B38F2" w:rsidP="00B965AF">
          <w:pPr>
            <w:rPr>
              <w:noProof/>
              <w:lang w:eastAsia="fi-FI"/>
            </w:rPr>
          </w:pPr>
        </w:p>
      </w:tc>
      <w:tc>
        <w:tcPr>
          <w:tcW w:w="2608" w:type="dxa"/>
        </w:tcPr>
        <w:p w:rsidR="005E0946" w:rsidRDefault="00C36AD9" w:rsidP="00B965AF">
          <w:pPr>
            <w:rPr>
              <w:b/>
              <w:noProof/>
            </w:rPr>
          </w:pPr>
          <w:r>
            <w:rPr>
              <w:b/>
            </w:rPr>
            <w:t>Meddelande</w:t>
          </w:r>
        </w:p>
      </w:tc>
      <w:tc>
        <w:tcPr>
          <w:tcW w:w="1304" w:type="dxa"/>
        </w:tcPr>
        <w:p w:rsidR="005E0946" w:rsidRDefault="003B38F2" w:rsidP="00B965AF">
          <w:pPr>
            <w:rPr>
              <w:noProof/>
              <w:lang w:eastAsia="fi-FI"/>
            </w:rPr>
          </w:pPr>
        </w:p>
      </w:tc>
      <w:tc>
        <w:tcPr>
          <w:tcW w:w="1304" w:type="dxa"/>
        </w:tcPr>
        <w:p w:rsidR="005E0946" w:rsidRDefault="00C36AD9" w:rsidP="00504B08">
          <w:pPr>
            <w:rPr>
              <w:noProof/>
            </w:rPr>
          </w:pPr>
          <w:r>
            <w:fldChar w:fldCharType="begin"/>
          </w:r>
          <w:r>
            <w:instrText xml:space="preserve"> PAGE  \* MERGEFORMAT </w:instrText>
          </w:r>
          <w:r>
            <w:fldChar w:fldCharType="separate"/>
          </w:r>
          <w:r w:rsidR="00D7756D">
            <w:rPr>
              <w:noProof/>
            </w:rPr>
            <w:t>2</w:t>
          </w:r>
          <w:r>
            <w:fldChar w:fldCharType="end"/>
          </w:r>
          <w:r>
            <w:t xml:space="preserve"> (</w:t>
          </w:r>
          <w:fldSimple w:instr=" NUMPAGES  \* MERGEFORMAT ">
            <w:r w:rsidR="00540AAC">
              <w:rPr>
                <w:noProof/>
              </w:rPr>
              <w:t>1</w:t>
            </w:r>
          </w:fldSimple>
          <w:r>
            <w:t>)</w:t>
          </w:r>
        </w:p>
      </w:tc>
    </w:tr>
    <w:tr w:rsidR="005E0946" w:rsidTr="00765367">
      <w:trPr>
        <w:cantSplit/>
      </w:trPr>
      <w:tc>
        <w:tcPr>
          <w:tcW w:w="5216" w:type="dxa"/>
        </w:tcPr>
        <w:p w:rsidR="005E0946" w:rsidRDefault="003B38F2" w:rsidP="00B965AF">
          <w:pPr>
            <w:rPr>
              <w:noProof/>
              <w:lang w:eastAsia="fi-FI"/>
            </w:rPr>
          </w:pPr>
        </w:p>
      </w:tc>
      <w:tc>
        <w:tcPr>
          <w:tcW w:w="2608" w:type="dxa"/>
        </w:tcPr>
        <w:p w:rsidR="005E0946" w:rsidRDefault="003B38F2" w:rsidP="00B965AF">
          <w:pPr>
            <w:rPr>
              <w:noProof/>
              <w:lang w:eastAsia="fi-FI"/>
            </w:rPr>
          </w:pPr>
        </w:p>
      </w:tc>
      <w:tc>
        <w:tcPr>
          <w:tcW w:w="2608" w:type="dxa"/>
          <w:gridSpan w:val="2"/>
        </w:tcPr>
        <w:p w:rsidR="005E0946" w:rsidRDefault="003B38F2" w:rsidP="00B965AF">
          <w:pPr>
            <w:rPr>
              <w:noProof/>
              <w:lang w:eastAsia="fi-FI"/>
            </w:rPr>
          </w:pPr>
        </w:p>
      </w:tc>
    </w:tr>
    <w:tr w:rsidR="005E0946" w:rsidTr="00765367">
      <w:trPr>
        <w:cantSplit/>
      </w:trPr>
      <w:tc>
        <w:tcPr>
          <w:tcW w:w="5216" w:type="dxa"/>
        </w:tcPr>
        <w:p w:rsidR="005E0946" w:rsidRDefault="003B38F2" w:rsidP="00B965AF">
          <w:pPr>
            <w:rPr>
              <w:noProof/>
              <w:lang w:eastAsia="fi-FI"/>
            </w:rPr>
          </w:pPr>
        </w:p>
      </w:tc>
      <w:tc>
        <w:tcPr>
          <w:tcW w:w="2608" w:type="dxa"/>
        </w:tcPr>
        <w:p w:rsidR="005E0946" w:rsidRDefault="003B38F2" w:rsidP="00B965AF">
          <w:pPr>
            <w:rPr>
              <w:noProof/>
              <w:lang w:eastAsia="fi-FI"/>
            </w:rPr>
          </w:pPr>
        </w:p>
      </w:tc>
      <w:tc>
        <w:tcPr>
          <w:tcW w:w="2608" w:type="dxa"/>
          <w:gridSpan w:val="2"/>
        </w:tcPr>
        <w:p w:rsidR="005E0946" w:rsidRDefault="003B38F2" w:rsidP="00B965AF">
          <w:pPr>
            <w:rPr>
              <w:noProof/>
              <w:lang w:eastAsia="fi-FI"/>
            </w:rPr>
          </w:pPr>
        </w:p>
      </w:tc>
    </w:tr>
    <w:tr w:rsidR="005E0946" w:rsidTr="00765367">
      <w:trPr>
        <w:cantSplit/>
      </w:trPr>
      <w:tc>
        <w:tcPr>
          <w:tcW w:w="5216" w:type="dxa"/>
        </w:tcPr>
        <w:p w:rsidR="005E0946" w:rsidRDefault="003B38F2" w:rsidP="00B965AF">
          <w:pPr>
            <w:rPr>
              <w:noProof/>
              <w:lang w:eastAsia="fi-FI"/>
            </w:rPr>
          </w:pPr>
        </w:p>
      </w:tc>
      <w:tc>
        <w:tcPr>
          <w:tcW w:w="2608" w:type="dxa"/>
        </w:tcPr>
        <w:p w:rsidR="005E0946" w:rsidRDefault="003B38F2" w:rsidP="00B965AF">
          <w:pPr>
            <w:rPr>
              <w:noProof/>
              <w:lang w:eastAsia="fi-FI"/>
            </w:rPr>
          </w:pPr>
        </w:p>
      </w:tc>
      <w:tc>
        <w:tcPr>
          <w:tcW w:w="2608" w:type="dxa"/>
          <w:gridSpan w:val="2"/>
        </w:tcPr>
        <w:p w:rsidR="005E0946" w:rsidRDefault="003B38F2" w:rsidP="00B965AF">
          <w:pPr>
            <w:rPr>
              <w:noProof/>
              <w:lang w:eastAsia="fi-FI"/>
            </w:rPr>
          </w:pPr>
        </w:p>
      </w:tc>
    </w:tr>
    <w:tr w:rsidR="005E0946" w:rsidTr="00765367">
      <w:trPr>
        <w:cantSplit/>
      </w:trPr>
      <w:tc>
        <w:tcPr>
          <w:tcW w:w="5216" w:type="dxa"/>
        </w:tcPr>
        <w:p w:rsidR="005E0946" w:rsidRDefault="003B38F2" w:rsidP="00B965AF">
          <w:pPr>
            <w:rPr>
              <w:noProof/>
              <w:lang w:eastAsia="fi-FI"/>
            </w:rPr>
          </w:pPr>
        </w:p>
      </w:tc>
      <w:tc>
        <w:tcPr>
          <w:tcW w:w="2608" w:type="dxa"/>
        </w:tcPr>
        <w:p w:rsidR="005E0946" w:rsidRDefault="003B38F2" w:rsidP="00B965AF">
          <w:pPr>
            <w:rPr>
              <w:noProof/>
              <w:lang w:eastAsia="fi-FI"/>
            </w:rPr>
          </w:pPr>
        </w:p>
      </w:tc>
      <w:tc>
        <w:tcPr>
          <w:tcW w:w="2608" w:type="dxa"/>
          <w:gridSpan w:val="2"/>
        </w:tcPr>
        <w:p w:rsidR="005E0946" w:rsidRDefault="003B38F2" w:rsidP="00B965AF">
          <w:pPr>
            <w:rPr>
              <w:noProof/>
              <w:lang w:eastAsia="fi-FI"/>
            </w:rPr>
          </w:pPr>
        </w:p>
      </w:tc>
    </w:tr>
    <w:tr w:rsidR="005E0946" w:rsidTr="00765367">
      <w:trPr>
        <w:cantSplit/>
      </w:trPr>
      <w:tc>
        <w:tcPr>
          <w:tcW w:w="5216" w:type="dxa"/>
        </w:tcPr>
        <w:p w:rsidR="005E0946" w:rsidRDefault="003B38F2" w:rsidP="00B965AF">
          <w:pPr>
            <w:rPr>
              <w:noProof/>
              <w:lang w:eastAsia="fi-FI"/>
            </w:rPr>
          </w:pPr>
        </w:p>
      </w:tc>
      <w:tc>
        <w:tcPr>
          <w:tcW w:w="2608" w:type="dxa"/>
        </w:tcPr>
        <w:p w:rsidR="005E0946" w:rsidRDefault="003B38F2" w:rsidP="00B965AF">
          <w:pPr>
            <w:rPr>
              <w:noProof/>
              <w:lang w:eastAsia="fi-FI"/>
            </w:rPr>
          </w:pPr>
        </w:p>
      </w:tc>
      <w:tc>
        <w:tcPr>
          <w:tcW w:w="2608" w:type="dxa"/>
          <w:gridSpan w:val="2"/>
        </w:tcPr>
        <w:p w:rsidR="005E0946" w:rsidRDefault="003B38F2" w:rsidP="00B965AF">
          <w:pPr>
            <w:rPr>
              <w:noProof/>
              <w:lang w:eastAsia="fi-FI"/>
            </w:rPr>
          </w:pPr>
        </w:p>
      </w:tc>
    </w:tr>
    <w:tr w:rsidR="005E0946" w:rsidTr="00765367">
      <w:trPr>
        <w:cantSplit/>
      </w:trPr>
      <w:tc>
        <w:tcPr>
          <w:tcW w:w="5216" w:type="dxa"/>
          <w:vMerge w:val="restart"/>
        </w:tcPr>
        <w:p w:rsidR="005E0946" w:rsidRDefault="003B38F2" w:rsidP="00B965AF">
          <w:pPr>
            <w:rPr>
              <w:noProof/>
              <w:lang w:eastAsia="fi-FI"/>
            </w:rPr>
          </w:pPr>
        </w:p>
      </w:tc>
      <w:tc>
        <w:tcPr>
          <w:tcW w:w="2608" w:type="dxa"/>
        </w:tcPr>
        <w:p w:rsidR="005E0946" w:rsidRDefault="003B38F2" w:rsidP="00B965AF">
          <w:pPr>
            <w:rPr>
              <w:noProof/>
              <w:lang w:eastAsia="fi-FI"/>
            </w:rPr>
          </w:pPr>
        </w:p>
      </w:tc>
      <w:tc>
        <w:tcPr>
          <w:tcW w:w="2608" w:type="dxa"/>
          <w:gridSpan w:val="2"/>
          <w:vMerge w:val="restart"/>
        </w:tcPr>
        <w:p w:rsidR="005E0946" w:rsidRDefault="003B38F2" w:rsidP="00B965AF">
          <w:pPr>
            <w:rPr>
              <w:noProof/>
              <w:lang w:eastAsia="fi-FI"/>
            </w:rPr>
          </w:pPr>
        </w:p>
      </w:tc>
    </w:tr>
    <w:tr w:rsidR="005E0946" w:rsidTr="00765367">
      <w:trPr>
        <w:cantSplit/>
      </w:trPr>
      <w:tc>
        <w:tcPr>
          <w:tcW w:w="5216" w:type="dxa"/>
          <w:vMerge/>
          <w:vAlign w:val="center"/>
          <w:hideMark/>
        </w:tcPr>
        <w:p w:rsidR="005E0946" w:rsidRDefault="003B38F2" w:rsidP="00B965AF">
          <w:pPr>
            <w:rPr>
              <w:noProof/>
              <w:szCs w:val="24"/>
              <w:lang w:eastAsia="fi-FI"/>
            </w:rPr>
          </w:pPr>
        </w:p>
      </w:tc>
      <w:tc>
        <w:tcPr>
          <w:tcW w:w="2608" w:type="dxa"/>
        </w:tcPr>
        <w:p w:rsidR="005E0946" w:rsidRDefault="003B38F2" w:rsidP="00B965AF">
          <w:pPr>
            <w:rPr>
              <w:noProof/>
              <w:lang w:eastAsia="fi-FI"/>
            </w:rPr>
          </w:pPr>
        </w:p>
      </w:tc>
      <w:tc>
        <w:tcPr>
          <w:tcW w:w="3912" w:type="dxa"/>
          <w:gridSpan w:val="2"/>
          <w:vMerge/>
          <w:vAlign w:val="center"/>
          <w:hideMark/>
        </w:tcPr>
        <w:p w:rsidR="005E0946" w:rsidRDefault="003B38F2" w:rsidP="00B965AF">
          <w:pPr>
            <w:rPr>
              <w:noProof/>
              <w:szCs w:val="24"/>
              <w:lang w:eastAsia="fi-FI"/>
            </w:rPr>
          </w:pPr>
        </w:p>
      </w:tc>
    </w:tr>
  </w:tbl>
  <w:p w:rsidR="005E0946" w:rsidRPr="00765367" w:rsidRDefault="003B38F2" w:rsidP="00B965AF">
    <w:pPr>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25" w:type="dxa"/>
      <w:tblLayout w:type="fixed"/>
      <w:tblCellMar>
        <w:left w:w="0" w:type="dxa"/>
        <w:right w:w="0" w:type="dxa"/>
      </w:tblCellMar>
      <w:tblLook w:val="04A0" w:firstRow="1" w:lastRow="0" w:firstColumn="1" w:lastColumn="0" w:noHBand="0" w:noVBand="1"/>
    </w:tblPr>
    <w:tblGrid>
      <w:gridCol w:w="5213"/>
      <w:gridCol w:w="2606"/>
      <w:gridCol w:w="1303"/>
      <w:gridCol w:w="1303"/>
    </w:tblGrid>
    <w:tr w:rsidR="005E0946" w:rsidTr="00C34E1E">
      <w:trPr>
        <w:cantSplit/>
      </w:trPr>
      <w:tc>
        <w:tcPr>
          <w:tcW w:w="5213" w:type="dxa"/>
        </w:tcPr>
        <w:p w:rsidR="005E0946" w:rsidRDefault="003B38F2" w:rsidP="00B965AF">
          <w:pPr>
            <w:rPr>
              <w:noProof/>
              <w:lang w:eastAsia="fi-FI"/>
            </w:rPr>
          </w:pPr>
        </w:p>
      </w:tc>
      <w:tc>
        <w:tcPr>
          <w:tcW w:w="2606" w:type="dxa"/>
        </w:tcPr>
        <w:p w:rsidR="005E0946" w:rsidRDefault="00C36AD9" w:rsidP="00B965AF">
          <w:pPr>
            <w:rPr>
              <w:b/>
              <w:noProof/>
            </w:rPr>
          </w:pPr>
          <w:bookmarkStart w:id="1" w:name="dname"/>
          <w:r>
            <w:rPr>
              <w:b/>
            </w:rPr>
            <w:t>Meddelande</w:t>
          </w:r>
          <w:bookmarkEnd w:id="1"/>
        </w:p>
      </w:tc>
      <w:tc>
        <w:tcPr>
          <w:tcW w:w="1303" w:type="dxa"/>
        </w:tcPr>
        <w:p w:rsidR="005E0946" w:rsidRDefault="003B38F2" w:rsidP="00B965AF">
          <w:pPr>
            <w:rPr>
              <w:noProof/>
            </w:rPr>
          </w:pPr>
          <w:bookmarkStart w:id="2" w:name="dnumber"/>
          <w:bookmarkEnd w:id="2"/>
        </w:p>
      </w:tc>
      <w:bookmarkStart w:id="3" w:name="dfieldpages"/>
      <w:tc>
        <w:tcPr>
          <w:tcW w:w="1303" w:type="dxa"/>
        </w:tcPr>
        <w:p w:rsidR="005E0946" w:rsidRDefault="00C36AD9" w:rsidP="00504B08">
          <w:pPr>
            <w:rPr>
              <w:noProof/>
            </w:rPr>
          </w:pPr>
          <w:r>
            <w:fldChar w:fldCharType="begin"/>
          </w:r>
          <w:r>
            <w:instrText xml:space="preserve"> PAGE  \* MERGEFORMAT </w:instrText>
          </w:r>
          <w:r>
            <w:fldChar w:fldCharType="separate"/>
          </w:r>
          <w:r w:rsidR="003B38F2">
            <w:rPr>
              <w:noProof/>
            </w:rPr>
            <w:t>1</w:t>
          </w:r>
          <w:r>
            <w:fldChar w:fldCharType="end"/>
          </w:r>
          <w:r>
            <w:t xml:space="preserve"> (</w:t>
          </w:r>
          <w:fldSimple w:instr=" NUMPAGES  \* MERGEFORMAT ">
            <w:r w:rsidR="003B38F2">
              <w:rPr>
                <w:noProof/>
              </w:rPr>
              <w:t>1</w:t>
            </w:r>
          </w:fldSimple>
          <w:r>
            <w:t>)</w:t>
          </w:r>
          <w:bookmarkEnd w:id="3"/>
        </w:p>
      </w:tc>
    </w:tr>
    <w:tr w:rsidR="005E0946" w:rsidTr="00C34E1E">
      <w:trPr>
        <w:cantSplit/>
      </w:trPr>
      <w:tc>
        <w:tcPr>
          <w:tcW w:w="5213" w:type="dxa"/>
        </w:tcPr>
        <w:p w:rsidR="005E0946" w:rsidRDefault="003B38F2" w:rsidP="00B965AF">
          <w:pPr>
            <w:rPr>
              <w:noProof/>
              <w:lang w:eastAsia="fi-FI"/>
            </w:rPr>
          </w:pPr>
        </w:p>
      </w:tc>
      <w:tc>
        <w:tcPr>
          <w:tcW w:w="2606" w:type="dxa"/>
        </w:tcPr>
        <w:p w:rsidR="005E0946" w:rsidRDefault="003B38F2" w:rsidP="00B965AF">
          <w:pPr>
            <w:rPr>
              <w:noProof/>
            </w:rPr>
          </w:pPr>
          <w:bookmarkStart w:id="4" w:name="dclass"/>
          <w:bookmarkEnd w:id="4"/>
        </w:p>
      </w:tc>
      <w:tc>
        <w:tcPr>
          <w:tcW w:w="2606" w:type="dxa"/>
          <w:gridSpan w:val="2"/>
        </w:tcPr>
        <w:p w:rsidR="005E0946" w:rsidRDefault="003B38F2" w:rsidP="00B965AF">
          <w:pPr>
            <w:rPr>
              <w:noProof/>
            </w:rPr>
          </w:pPr>
          <w:bookmarkStart w:id="5" w:name="dencl"/>
          <w:bookmarkEnd w:id="5"/>
        </w:p>
      </w:tc>
    </w:tr>
    <w:tr w:rsidR="005E0946" w:rsidTr="00C34E1E">
      <w:trPr>
        <w:cantSplit/>
      </w:trPr>
      <w:tc>
        <w:tcPr>
          <w:tcW w:w="5213" w:type="dxa"/>
        </w:tcPr>
        <w:p w:rsidR="005E0946" w:rsidRDefault="003B38F2" w:rsidP="00B965AF">
          <w:pPr>
            <w:rPr>
              <w:noProof/>
              <w:lang w:eastAsia="fi-FI"/>
            </w:rPr>
          </w:pPr>
        </w:p>
      </w:tc>
      <w:tc>
        <w:tcPr>
          <w:tcW w:w="2606" w:type="dxa"/>
        </w:tcPr>
        <w:p w:rsidR="005E0946" w:rsidRDefault="003B38F2" w:rsidP="00B965AF">
          <w:pPr>
            <w:rPr>
              <w:noProof/>
              <w:lang w:eastAsia="fi-FI"/>
            </w:rPr>
          </w:pPr>
        </w:p>
      </w:tc>
      <w:tc>
        <w:tcPr>
          <w:tcW w:w="2606" w:type="dxa"/>
          <w:gridSpan w:val="2"/>
        </w:tcPr>
        <w:p w:rsidR="005E0946" w:rsidRDefault="003B38F2" w:rsidP="00B965AF">
          <w:pPr>
            <w:rPr>
              <w:noProof/>
            </w:rPr>
          </w:pPr>
          <w:bookmarkStart w:id="6" w:name="dcode"/>
          <w:bookmarkEnd w:id="6"/>
        </w:p>
      </w:tc>
    </w:tr>
    <w:tr w:rsidR="005E0946" w:rsidTr="00C34E1E">
      <w:trPr>
        <w:cantSplit/>
      </w:trPr>
      <w:tc>
        <w:tcPr>
          <w:tcW w:w="5213" w:type="dxa"/>
        </w:tcPr>
        <w:p w:rsidR="005E0946" w:rsidRDefault="003B38F2" w:rsidP="00B965AF">
          <w:pPr>
            <w:rPr>
              <w:noProof/>
              <w:lang w:eastAsia="fi-FI"/>
            </w:rPr>
          </w:pPr>
        </w:p>
      </w:tc>
      <w:tc>
        <w:tcPr>
          <w:tcW w:w="2606" w:type="dxa"/>
        </w:tcPr>
        <w:p w:rsidR="005E0946" w:rsidRDefault="00C36AD9" w:rsidP="00D94029">
          <w:pPr>
            <w:rPr>
              <w:noProof/>
            </w:rPr>
          </w:pPr>
          <w:bookmarkStart w:id="7" w:name="ddate"/>
          <w:r>
            <w:t>19.10.201</w:t>
          </w:r>
          <w:bookmarkEnd w:id="7"/>
          <w:r>
            <w:t>8</w:t>
          </w:r>
        </w:p>
      </w:tc>
      <w:tc>
        <w:tcPr>
          <w:tcW w:w="2606" w:type="dxa"/>
          <w:gridSpan w:val="2"/>
        </w:tcPr>
        <w:p w:rsidR="005E0946" w:rsidRDefault="003B38F2" w:rsidP="00B965AF">
          <w:pPr>
            <w:rPr>
              <w:noProof/>
            </w:rPr>
          </w:pPr>
          <w:bookmarkStart w:id="8" w:name="dconfidentiality"/>
          <w:bookmarkEnd w:id="8"/>
        </w:p>
      </w:tc>
    </w:tr>
  </w:tbl>
  <w:p w:rsidR="005E0946" w:rsidRDefault="00540AAC" w:rsidP="00BD2536">
    <w:pPr>
      <w:framePr w:hSpace="141" w:wrap="notBeside" w:vAnchor="page" w:hAnchor="page" w:x="1140" w:y="511"/>
    </w:pPr>
    <w:r>
      <w:rPr>
        <w:noProof/>
        <w:lang w:val="en-US"/>
      </w:rPr>
      <w:drawing>
        <wp:inline distT="0" distB="0" distL="0" distR="0" wp14:anchorId="5D03BA17" wp14:editId="7306F917">
          <wp:extent cx="819150" cy="1167621"/>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167621"/>
                  </a:xfrm>
                  <a:prstGeom prst="rect">
                    <a:avLst/>
                  </a:prstGeom>
                  <a:noFill/>
                </pic:spPr>
              </pic:pic>
            </a:graphicData>
          </a:graphic>
        </wp:inline>
      </w:drawing>
    </w:r>
  </w:p>
  <w:p w:rsidR="005E0946" w:rsidRPr="00765367" w:rsidRDefault="003B38F2" w:rsidP="00B965AF">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14604"/>
    <w:multiLevelType w:val="hybridMultilevel"/>
    <w:tmpl w:val="9320BEF2"/>
    <w:lvl w:ilvl="0" w:tplc="040B000F">
      <w:start w:val="1"/>
      <w:numFmt w:val="decimal"/>
      <w:lvlText w:val="%1."/>
      <w:lvlJc w:val="left"/>
      <w:pPr>
        <w:ind w:left="2705" w:hanging="360"/>
      </w:pPr>
    </w:lvl>
    <w:lvl w:ilvl="1" w:tplc="040B0019" w:tentative="1">
      <w:start w:val="1"/>
      <w:numFmt w:val="lowerLetter"/>
      <w:lvlText w:val="%2."/>
      <w:lvlJc w:val="left"/>
      <w:pPr>
        <w:ind w:left="3425" w:hanging="360"/>
      </w:pPr>
    </w:lvl>
    <w:lvl w:ilvl="2" w:tplc="040B001B" w:tentative="1">
      <w:start w:val="1"/>
      <w:numFmt w:val="lowerRoman"/>
      <w:lvlText w:val="%3."/>
      <w:lvlJc w:val="right"/>
      <w:pPr>
        <w:ind w:left="4145" w:hanging="180"/>
      </w:pPr>
    </w:lvl>
    <w:lvl w:ilvl="3" w:tplc="040B000F" w:tentative="1">
      <w:start w:val="1"/>
      <w:numFmt w:val="decimal"/>
      <w:lvlText w:val="%4."/>
      <w:lvlJc w:val="left"/>
      <w:pPr>
        <w:ind w:left="4865" w:hanging="360"/>
      </w:pPr>
    </w:lvl>
    <w:lvl w:ilvl="4" w:tplc="040B0019" w:tentative="1">
      <w:start w:val="1"/>
      <w:numFmt w:val="lowerLetter"/>
      <w:lvlText w:val="%5."/>
      <w:lvlJc w:val="left"/>
      <w:pPr>
        <w:ind w:left="5585" w:hanging="360"/>
      </w:pPr>
    </w:lvl>
    <w:lvl w:ilvl="5" w:tplc="040B001B" w:tentative="1">
      <w:start w:val="1"/>
      <w:numFmt w:val="lowerRoman"/>
      <w:lvlText w:val="%6."/>
      <w:lvlJc w:val="right"/>
      <w:pPr>
        <w:ind w:left="6305" w:hanging="180"/>
      </w:pPr>
    </w:lvl>
    <w:lvl w:ilvl="6" w:tplc="040B000F" w:tentative="1">
      <w:start w:val="1"/>
      <w:numFmt w:val="decimal"/>
      <w:lvlText w:val="%7."/>
      <w:lvlJc w:val="left"/>
      <w:pPr>
        <w:ind w:left="7025" w:hanging="360"/>
      </w:pPr>
    </w:lvl>
    <w:lvl w:ilvl="7" w:tplc="040B0019" w:tentative="1">
      <w:start w:val="1"/>
      <w:numFmt w:val="lowerLetter"/>
      <w:lvlText w:val="%8."/>
      <w:lvlJc w:val="left"/>
      <w:pPr>
        <w:ind w:left="7745" w:hanging="360"/>
      </w:pPr>
    </w:lvl>
    <w:lvl w:ilvl="8" w:tplc="040B001B" w:tentative="1">
      <w:start w:val="1"/>
      <w:numFmt w:val="lowerRoman"/>
      <w:lvlText w:val="%9."/>
      <w:lvlJc w:val="right"/>
      <w:pPr>
        <w:ind w:left="84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850"/>
    <w:rsid w:val="00121174"/>
    <w:rsid w:val="00130F1F"/>
    <w:rsid w:val="00207F00"/>
    <w:rsid w:val="002961E7"/>
    <w:rsid w:val="002F1286"/>
    <w:rsid w:val="003B38F2"/>
    <w:rsid w:val="004B7438"/>
    <w:rsid w:val="00540AAC"/>
    <w:rsid w:val="00593826"/>
    <w:rsid w:val="0064196D"/>
    <w:rsid w:val="009469BB"/>
    <w:rsid w:val="009C65D3"/>
    <w:rsid w:val="00AE497F"/>
    <w:rsid w:val="00B03EF2"/>
    <w:rsid w:val="00BE6868"/>
    <w:rsid w:val="00C07850"/>
    <w:rsid w:val="00C36AD9"/>
    <w:rsid w:val="00C85DB5"/>
    <w:rsid w:val="00D7756D"/>
    <w:rsid w:val="00E33BD7"/>
    <w:rsid w:val="00F241C5"/>
    <w:rsid w:val="00FE49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FEB2"/>
  <w15:chartTrackingRefBased/>
  <w15:docId w15:val="{93094FBD-2CC7-44EA-AC93-7F1F23E9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07850"/>
    <w:pPr>
      <w:spacing w:after="0" w:line="240" w:lineRule="auto"/>
    </w:pPr>
    <w:rPr>
      <w:rFonts w:ascii="Arial" w:hAnsi="Arial" w:cstheme="minorHAnsi"/>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semiHidden/>
    <w:rsid w:val="00C07850"/>
    <w:pPr>
      <w:spacing w:after="40"/>
    </w:pPr>
    <w:rPr>
      <w:sz w:val="14"/>
    </w:rPr>
  </w:style>
  <w:style w:type="character" w:customStyle="1" w:styleId="AlatunnisteChar">
    <w:name w:val="Alatunniste Char"/>
    <w:basedOn w:val="Kappaleenoletusfontti"/>
    <w:link w:val="Alatunniste"/>
    <w:uiPriority w:val="99"/>
    <w:semiHidden/>
    <w:rsid w:val="00C07850"/>
    <w:rPr>
      <w:rFonts w:ascii="Arial" w:hAnsi="Arial" w:cstheme="minorHAnsi"/>
      <w:sz w:val="14"/>
    </w:rPr>
  </w:style>
  <w:style w:type="table" w:styleId="TaulukkoRuudukko">
    <w:name w:val="Table Grid"/>
    <w:basedOn w:val="Normaalitaulukko"/>
    <w:uiPriority w:val="59"/>
    <w:rsid w:val="00C07850"/>
    <w:pPr>
      <w:spacing w:after="0" w:line="240" w:lineRule="auto"/>
    </w:pPr>
    <w:rPr>
      <w:rFonts w:cstheme="minorHAnsi"/>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character" w:styleId="Hyperlinkki">
    <w:name w:val="Hyperlink"/>
    <w:basedOn w:val="Kappaleenoletusfontti"/>
    <w:uiPriority w:val="99"/>
    <w:semiHidden/>
    <w:rsid w:val="00C07850"/>
    <w:rPr>
      <w:color w:val="0563C1" w:themeColor="hyperlink"/>
      <w:u w:val="single"/>
    </w:rPr>
  </w:style>
  <w:style w:type="paragraph" w:customStyle="1" w:styleId="Sis2">
    <w:name w:val="Sis 2"/>
    <w:basedOn w:val="Normaali"/>
    <w:qFormat/>
    <w:rsid w:val="00C07850"/>
    <w:pPr>
      <w:ind w:left="2608"/>
    </w:pPr>
  </w:style>
  <w:style w:type="paragraph" w:customStyle="1" w:styleId="PaaOtsikko">
    <w:name w:val="PaaOtsikko"/>
    <w:basedOn w:val="Normaali"/>
    <w:rsid w:val="00C07850"/>
    <w:pPr>
      <w:spacing w:after="240"/>
    </w:pPr>
    <w:rPr>
      <w:b/>
      <w:sz w:val="24"/>
    </w:rPr>
  </w:style>
  <w:style w:type="paragraph" w:customStyle="1" w:styleId="Leiptekstisisennys">
    <w:name w:val="Leipäteksti sisennys"/>
    <w:rsid w:val="00C07850"/>
    <w:pPr>
      <w:spacing w:after="0" w:line="240" w:lineRule="auto"/>
      <w:ind w:left="2268" w:right="567"/>
    </w:pPr>
    <w:rPr>
      <w:rFonts w:ascii="Verdana" w:eastAsia="Times New Roman" w:hAnsi="Verdana" w:cs="Times New Roman"/>
      <w:sz w:val="18"/>
      <w:szCs w:val="20"/>
      <w:lang w:eastAsia="fi-FI"/>
    </w:rPr>
  </w:style>
  <w:style w:type="character" w:styleId="AvattuHyperlinkki">
    <w:name w:val="FollowedHyperlink"/>
    <w:basedOn w:val="Kappaleenoletusfontti"/>
    <w:uiPriority w:val="99"/>
    <w:semiHidden/>
    <w:unhideWhenUsed/>
    <w:rsid w:val="00AE497F"/>
    <w:rPr>
      <w:color w:val="954F72" w:themeColor="followedHyperlink"/>
      <w:u w:val="single"/>
    </w:rPr>
  </w:style>
  <w:style w:type="paragraph" w:styleId="Yltunniste">
    <w:name w:val="header"/>
    <w:basedOn w:val="Normaali"/>
    <w:link w:val="YltunnisteChar"/>
    <w:uiPriority w:val="99"/>
    <w:unhideWhenUsed/>
    <w:rsid w:val="002961E7"/>
    <w:pPr>
      <w:tabs>
        <w:tab w:val="center" w:pos="4513"/>
        <w:tab w:val="right" w:pos="9026"/>
      </w:tabs>
    </w:pPr>
  </w:style>
  <w:style w:type="character" w:customStyle="1" w:styleId="YltunnisteChar">
    <w:name w:val="Ylätunniste Char"/>
    <w:basedOn w:val="Kappaleenoletusfontti"/>
    <w:link w:val="Yltunniste"/>
    <w:uiPriority w:val="99"/>
    <w:rsid w:val="002961E7"/>
    <w:rPr>
      <w:rFonts w:ascii="Arial" w:hAnsi="Arial"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lkaisut.valtioneuvosto.fi/bitstream/handle/10024/161029/LVM_09_2018_Liikenteen_Ilmastopolitiikan_valiraportti.pdf?sequence=1&amp;isAllowed=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oni.barman@liikennevirasto" TargetMode="External"/><Relationship Id="rId4" Type="http://schemas.openxmlformats.org/officeDocument/2006/relationships/settings" Target="settings.xml"/><Relationship Id="rId9" Type="http://schemas.openxmlformats.org/officeDocument/2006/relationships/hyperlink" Target="https://www.liikennevirasto.fi/liikennejarjestelma/suunnittelu/liikkumisen-ohjaus/liikkumisen-ohjauksen-valtionavustu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E50D-D76A-44A8-B96F-6D25D5A6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548</Words>
  <Characters>3128</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Liikennevirasto</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Saarinen Taina</dc:creator>
  <cp:keywords/>
  <dc:description/>
  <cp:lastModifiedBy>Brännkärr Lotten</cp:lastModifiedBy>
  <cp:revision>10</cp:revision>
  <cp:lastPrinted>2018-10-19T06:22:00Z</cp:lastPrinted>
  <dcterms:created xsi:type="dcterms:W3CDTF">2018-10-19T05:39:00Z</dcterms:created>
  <dcterms:modified xsi:type="dcterms:W3CDTF">2018-10-31T14:08:00Z</dcterms:modified>
</cp:coreProperties>
</file>